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5CFF" w14:textId="79F5052E" w:rsidR="009B0406" w:rsidRPr="007D5330" w:rsidRDefault="00BB009B">
      <w:pPr>
        <w:rPr>
          <w:b/>
          <w:sz w:val="28"/>
          <w:szCs w:val="28"/>
          <w:lang w:val="fr-CH"/>
        </w:rPr>
      </w:pPr>
      <w:r w:rsidRPr="007D5330">
        <w:rPr>
          <w:b/>
          <w:sz w:val="28"/>
          <w:szCs w:val="28"/>
          <w:lang w:val="fr-CH"/>
        </w:rPr>
        <w:t>Vrai ou faux ?</w:t>
      </w:r>
    </w:p>
    <w:p w14:paraId="6B51968C" w14:textId="77777777" w:rsidR="00BB009B" w:rsidRDefault="00BB009B">
      <w:pPr>
        <w:rPr>
          <w:sz w:val="28"/>
          <w:szCs w:val="28"/>
          <w:lang w:val="fr-CH"/>
        </w:rPr>
      </w:pPr>
    </w:p>
    <w:p w14:paraId="340978FD" w14:textId="77777777" w:rsidR="00BB009B" w:rsidRDefault="00BB009B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7387"/>
        <w:gridCol w:w="513"/>
        <w:gridCol w:w="563"/>
      </w:tblGrid>
      <w:tr w:rsidR="007D5330" w14:paraId="1CC434A7" w14:textId="77777777" w:rsidTr="007D5330">
        <w:tc>
          <w:tcPr>
            <w:tcW w:w="593" w:type="dxa"/>
          </w:tcPr>
          <w:p w14:paraId="6A734CC3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7387" w:type="dxa"/>
          </w:tcPr>
          <w:p w14:paraId="6454C049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En grec, il y a trois genres.</w:t>
            </w:r>
          </w:p>
        </w:tc>
        <w:tc>
          <w:tcPr>
            <w:tcW w:w="513" w:type="dxa"/>
          </w:tcPr>
          <w:p w14:paraId="22619C7E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15BD5DCD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24746259" w14:textId="77777777" w:rsidTr="007D5330">
        <w:tc>
          <w:tcPr>
            <w:tcW w:w="593" w:type="dxa"/>
          </w:tcPr>
          <w:p w14:paraId="2E24A078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7387" w:type="dxa"/>
          </w:tcPr>
          <w:p w14:paraId="4E2CDF1B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Au neutre, il n’y a pas de déterminant.</w:t>
            </w:r>
          </w:p>
        </w:tc>
        <w:tc>
          <w:tcPr>
            <w:tcW w:w="513" w:type="dxa"/>
          </w:tcPr>
          <w:p w14:paraId="2A77DB89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532DF09C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6FDD2759" w14:textId="77777777" w:rsidTr="007D5330">
        <w:tc>
          <w:tcPr>
            <w:tcW w:w="593" w:type="dxa"/>
          </w:tcPr>
          <w:p w14:paraId="1FEDA35C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7387" w:type="dxa"/>
          </w:tcPr>
          <w:p w14:paraId="7AA0CEA5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A</w:t>
            </w:r>
            <w:r w:rsidRPr="007D5330">
              <w:rPr>
                <w:rFonts w:cs="Helvetica"/>
                <w:sz w:val="28"/>
                <w:szCs w:val="28"/>
              </w:rPr>
              <w:t>u neutre, les terminaisons du génitif et du datif sont celles de la 1</w:t>
            </w:r>
            <w:r w:rsidRPr="007D5330">
              <w:rPr>
                <w:rFonts w:cs="Helvetica"/>
                <w:sz w:val="28"/>
                <w:szCs w:val="28"/>
                <w:vertAlign w:val="superscript"/>
              </w:rPr>
              <w:t>e</w:t>
            </w:r>
            <w:r w:rsidRPr="007D5330">
              <w:rPr>
                <w:rFonts w:cs="Helvetica"/>
                <w:sz w:val="28"/>
                <w:szCs w:val="28"/>
              </w:rPr>
              <w:t xml:space="preserve"> déclinaison (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κεφ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>α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λή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>).</w:t>
            </w:r>
          </w:p>
        </w:tc>
        <w:tc>
          <w:tcPr>
            <w:tcW w:w="513" w:type="dxa"/>
          </w:tcPr>
          <w:p w14:paraId="06248210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419E4580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01C97E42" w14:textId="77777777" w:rsidTr="007D5330">
        <w:tc>
          <w:tcPr>
            <w:tcW w:w="593" w:type="dxa"/>
          </w:tcPr>
          <w:p w14:paraId="123B7819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7387" w:type="dxa"/>
          </w:tcPr>
          <w:p w14:paraId="0E7B06D1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A</w:t>
            </w:r>
            <w:r w:rsidRPr="007D5330">
              <w:rPr>
                <w:rFonts w:cs="Helvetica"/>
                <w:sz w:val="28"/>
                <w:szCs w:val="28"/>
              </w:rPr>
              <w:t>u neutre, le nominatif, le vocatif et l’accusatif sont toujours semblables.</w:t>
            </w:r>
          </w:p>
        </w:tc>
        <w:tc>
          <w:tcPr>
            <w:tcW w:w="513" w:type="dxa"/>
          </w:tcPr>
          <w:p w14:paraId="20C12817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2D2BBB9F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535DEAB7" w14:textId="77777777" w:rsidTr="007D5330">
        <w:tc>
          <w:tcPr>
            <w:tcW w:w="593" w:type="dxa"/>
          </w:tcPr>
          <w:p w14:paraId="29FD65FF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7387" w:type="dxa"/>
          </w:tcPr>
          <w:p w14:paraId="793EAE12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P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our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 xml:space="preserve"> savoir si un mot est neutre, il suffit d’analyser le mot qui le précède.</w:t>
            </w:r>
          </w:p>
        </w:tc>
        <w:tc>
          <w:tcPr>
            <w:tcW w:w="513" w:type="dxa"/>
          </w:tcPr>
          <w:p w14:paraId="74A8CF7D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0B2CDE6E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478B071F" w14:textId="77777777" w:rsidTr="007D5330">
        <w:tc>
          <w:tcPr>
            <w:tcW w:w="593" w:type="dxa"/>
          </w:tcPr>
          <w:p w14:paraId="550256A1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7387" w:type="dxa"/>
          </w:tcPr>
          <w:p w14:paraId="55C24AC2" w14:textId="0A8A6298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  <w:lang w:val="fr-CH"/>
              </w:rPr>
              <w:t>U</w:t>
            </w:r>
            <w:r w:rsidR="00CE2AE1">
              <w:rPr>
                <w:rFonts w:cs="Helvetica"/>
                <w:sz w:val="28"/>
                <w:szCs w:val="28"/>
              </w:rPr>
              <w:t>n mot se terminant par -</w:t>
            </w:r>
            <w:proofErr w:type="spellStart"/>
            <w:r w:rsidRPr="007D5330">
              <w:rPr>
                <w:rFonts w:cs="Helvetica"/>
                <w:sz w:val="28"/>
                <w:szCs w:val="28"/>
              </w:rPr>
              <w:t>ον</w:t>
            </w:r>
            <w:proofErr w:type="spellEnd"/>
            <w:r w:rsidRPr="007D5330">
              <w:rPr>
                <w:rFonts w:cs="Helvetica"/>
                <w:sz w:val="28"/>
                <w:szCs w:val="28"/>
              </w:rPr>
              <w:t xml:space="preserve"> est obligatoirement un accusatif.</w:t>
            </w:r>
          </w:p>
        </w:tc>
        <w:tc>
          <w:tcPr>
            <w:tcW w:w="513" w:type="dxa"/>
          </w:tcPr>
          <w:p w14:paraId="19BAE060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313E8BEE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672FE384" w14:textId="77777777" w:rsidTr="007D5330">
        <w:tc>
          <w:tcPr>
            <w:tcW w:w="593" w:type="dxa"/>
          </w:tcPr>
          <w:p w14:paraId="3B9D0C0D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7387" w:type="dxa"/>
          </w:tcPr>
          <w:p w14:paraId="12E415C2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Les adjectifs peuvent être au neutre.</w:t>
            </w:r>
          </w:p>
        </w:tc>
        <w:tc>
          <w:tcPr>
            <w:tcW w:w="513" w:type="dxa"/>
          </w:tcPr>
          <w:p w14:paraId="53236E72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1150E362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78BC77BB" w14:textId="77777777" w:rsidTr="007D5330">
        <w:tc>
          <w:tcPr>
            <w:tcW w:w="593" w:type="dxa"/>
          </w:tcPr>
          <w:p w14:paraId="333832A5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7387" w:type="dxa"/>
          </w:tcPr>
          <w:p w14:paraId="0DFBA8CE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Un mot neutre féminin n’existe pas.</w:t>
            </w:r>
          </w:p>
        </w:tc>
        <w:tc>
          <w:tcPr>
            <w:tcW w:w="513" w:type="dxa"/>
          </w:tcPr>
          <w:p w14:paraId="0A87978B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0ECD6586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1FFD420F" w14:textId="77777777" w:rsidTr="007D5330">
        <w:tc>
          <w:tcPr>
            <w:tcW w:w="593" w:type="dxa"/>
          </w:tcPr>
          <w:p w14:paraId="714A27A8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7387" w:type="dxa"/>
          </w:tcPr>
          <w:p w14:paraId="44E0596F" w14:textId="4767975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rFonts w:cs="Helvetica"/>
                <w:sz w:val="28"/>
                <w:szCs w:val="28"/>
              </w:rPr>
              <w:t>La terminaison d</w:t>
            </w:r>
            <w:r w:rsidR="00CE2AE1">
              <w:rPr>
                <w:rFonts w:cs="Helvetica"/>
                <w:sz w:val="28"/>
                <w:szCs w:val="28"/>
              </w:rPr>
              <w:t>u nominatif neutre pluriel est -</w:t>
            </w:r>
            <w:bookmarkStart w:id="0" w:name="_GoBack"/>
            <w:bookmarkEnd w:id="0"/>
            <w:r w:rsidRPr="007D5330">
              <w:rPr>
                <w:rFonts w:cs="Helvetica"/>
                <w:sz w:val="28"/>
                <w:szCs w:val="28"/>
              </w:rPr>
              <w:t>τα.</w:t>
            </w:r>
          </w:p>
        </w:tc>
        <w:tc>
          <w:tcPr>
            <w:tcW w:w="513" w:type="dxa"/>
          </w:tcPr>
          <w:p w14:paraId="6DD3C579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704B9E1A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  <w:tr w:rsidR="007D5330" w14:paraId="62BC576A" w14:textId="77777777" w:rsidTr="007D5330">
        <w:tc>
          <w:tcPr>
            <w:tcW w:w="593" w:type="dxa"/>
          </w:tcPr>
          <w:p w14:paraId="51DC019B" w14:textId="77777777" w:rsidR="007D5330" w:rsidRPr="007D5330" w:rsidRDefault="007D5330" w:rsidP="007D5330">
            <w:pPr>
              <w:spacing w:line="360" w:lineRule="auto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7387" w:type="dxa"/>
          </w:tcPr>
          <w:p w14:paraId="00366E14" w14:textId="0A9F1293" w:rsidR="007D5330" w:rsidRPr="007D5330" w:rsidRDefault="002B77EC" w:rsidP="002B77EC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rFonts w:cs="Helvetica"/>
                <w:sz w:val="28"/>
                <w:szCs w:val="28"/>
                <w:lang w:val="fr-CH"/>
              </w:rPr>
              <w:t>Lorsque le sujet est un neutre pluriel, le verbe est généralement au singulier.</w:t>
            </w:r>
          </w:p>
        </w:tc>
        <w:tc>
          <w:tcPr>
            <w:tcW w:w="513" w:type="dxa"/>
          </w:tcPr>
          <w:p w14:paraId="4329B5C7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63" w:type="dxa"/>
          </w:tcPr>
          <w:p w14:paraId="322F7C32" w14:textId="77777777" w:rsidR="007D5330" w:rsidRPr="007D5330" w:rsidRDefault="007D5330" w:rsidP="007D5330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 w:rsidRPr="007D5330">
              <w:rPr>
                <w:sz w:val="28"/>
                <w:szCs w:val="28"/>
                <w:lang w:val="fr-CH"/>
              </w:rPr>
              <w:t>F</w:t>
            </w:r>
          </w:p>
        </w:tc>
      </w:tr>
    </w:tbl>
    <w:p w14:paraId="6E7261C2" w14:textId="77777777" w:rsidR="00BB009B" w:rsidRPr="00BB009B" w:rsidRDefault="00BB009B">
      <w:pPr>
        <w:rPr>
          <w:sz w:val="28"/>
          <w:szCs w:val="28"/>
          <w:lang w:val="fr-CH"/>
        </w:rPr>
      </w:pPr>
    </w:p>
    <w:sectPr w:rsidR="00BB009B" w:rsidRPr="00BB009B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2BE5" w14:textId="77777777" w:rsidR="00693427" w:rsidRDefault="00693427" w:rsidP="00BB009B">
      <w:r>
        <w:separator/>
      </w:r>
    </w:p>
  </w:endnote>
  <w:endnote w:type="continuationSeparator" w:id="0">
    <w:p w14:paraId="5F924DA2" w14:textId="77777777" w:rsidR="00693427" w:rsidRDefault="00693427" w:rsidP="00B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AE8C" w14:textId="77777777" w:rsidR="00BB009B" w:rsidRDefault="00BB009B">
    <w:pPr>
      <w:pStyle w:val="Pieddepage"/>
    </w:pPr>
    <w:r>
      <w:t>EB14/AMK20</w:t>
    </w:r>
  </w:p>
  <w:p w14:paraId="6E4C2C6A" w14:textId="77777777" w:rsidR="00BB009B" w:rsidRDefault="00BB009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590F" w14:textId="77777777" w:rsidR="00693427" w:rsidRDefault="00693427" w:rsidP="00BB009B">
      <w:r>
        <w:separator/>
      </w:r>
    </w:p>
  </w:footnote>
  <w:footnote w:type="continuationSeparator" w:id="0">
    <w:p w14:paraId="4BA18A78" w14:textId="77777777" w:rsidR="00693427" w:rsidRDefault="00693427" w:rsidP="00BB0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34806" w14:textId="77777777" w:rsidR="00BB009B" w:rsidRDefault="00BB009B">
    <w:pPr>
      <w:pStyle w:val="En-tte"/>
    </w:pPr>
    <w:r>
      <w:t>Organon 2005, chapitre 6</w:t>
    </w:r>
  </w:p>
  <w:p w14:paraId="340ECAB9" w14:textId="77777777" w:rsidR="00BB009B" w:rsidRDefault="00BB00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9B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B77EC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806CE"/>
    <w:rsid w:val="00693427"/>
    <w:rsid w:val="006A565D"/>
    <w:rsid w:val="006F40F2"/>
    <w:rsid w:val="007123A7"/>
    <w:rsid w:val="007140C0"/>
    <w:rsid w:val="0071523E"/>
    <w:rsid w:val="00715E0A"/>
    <w:rsid w:val="0076467B"/>
    <w:rsid w:val="00766784"/>
    <w:rsid w:val="007A65A2"/>
    <w:rsid w:val="007B0CE9"/>
    <w:rsid w:val="007D5330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BB009B"/>
    <w:rsid w:val="00C676B7"/>
    <w:rsid w:val="00CE2AE1"/>
    <w:rsid w:val="00CF0B80"/>
    <w:rsid w:val="00D00958"/>
    <w:rsid w:val="00D56C4F"/>
    <w:rsid w:val="00E46A8F"/>
    <w:rsid w:val="00E63459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73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009B"/>
  </w:style>
  <w:style w:type="paragraph" w:styleId="Pieddepage">
    <w:name w:val="footer"/>
    <w:basedOn w:val="Normal"/>
    <w:link w:val="PieddepageCar"/>
    <w:uiPriority w:val="99"/>
    <w:unhideWhenUsed/>
    <w:rsid w:val="00BB0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09B"/>
  </w:style>
  <w:style w:type="table" w:styleId="Grilledutableau">
    <w:name w:val="Table Grid"/>
    <w:basedOn w:val="TableauNormal"/>
    <w:uiPriority w:val="39"/>
    <w:rsid w:val="007D5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cp:lastPrinted>2020-04-04T08:20:00Z</cp:lastPrinted>
  <dcterms:created xsi:type="dcterms:W3CDTF">2020-04-04T08:21:00Z</dcterms:created>
  <dcterms:modified xsi:type="dcterms:W3CDTF">2020-04-04T08:21:00Z</dcterms:modified>
</cp:coreProperties>
</file>